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4" w:type="dxa"/>
        <w:tblCellMar>
          <w:left w:w="0" w:type="dxa"/>
          <w:right w:w="0" w:type="dxa"/>
        </w:tblCellMar>
        <w:tblLook w:val="04A0"/>
      </w:tblPr>
      <w:tblGrid>
        <w:gridCol w:w="1241"/>
        <w:gridCol w:w="1122"/>
        <w:gridCol w:w="1645"/>
        <w:gridCol w:w="4776"/>
      </w:tblGrid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Intrebare</w:t>
            </w:r>
            <w:proofErr w:type="spellEnd"/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Raspuns</w:t>
            </w:r>
            <w:proofErr w:type="spellEnd"/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Este nevoie de efectuarea anchetelor sociale și pentru beneficiarii suplimentului de energie electrică, având în vedere contextul epidemiologic actual?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 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Deoarece, in proporție de 95% dintre beneficiari optează pentru acest supliment iar tendința de depunere a dosarelor pentru încălzirea locuinței și pentru suplimentele de energie este in creștere semnificativă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Potrivit legii (art. 14), primarul stabilește dreptul la ajutor pentru încălzire pe bază de cerere/declarație pe propria răspundere și documente doveditoare, având posibilitatea verificării informațiilor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solicitând informaţii altor instituţii/autorităţi sau, după caz, pe baza anchetei sociale efectuate de serviciul public de asistenţă socială.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Doar în cazul solicitării ajutorului pentru energie electrică, anchetele sociale se efectuează obligatoriu.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Aceleași reguli se aplică și în cazul suplimentului.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Nu pot fi beneficiari de supliment dacă nu îndeplinesc aceleași condiții ca și în cazul ajutorului pentru încălzire. Prin urmare, verificarea se efectuează o singură dată și numai în cazul în care nu există înregistrări cu privire la solicitant și, obligatoriu în cazul energiei electrice dar doar pentru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încalzire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.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Am întâlnit foarte des această situație: soțul/soția văduvă dorește să beneficieze de ajutor la încălzire, este co-proprietar, dar facturile la gaz metan și energie electrică sunt pe soțul decedat. Ar fi o posibilitate să acordăm acest ajutor fără a trimite bătrânii la Suceava (reședința de județ) pentru a obține noi contracte pe numele soțului supraviețuitor? Suntem și în stare de alertă – cu restricțiile aferente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 Soția supraviețuitoare poate beneficia. Potrivit legii, titular al ajutorului – poate fi, după caz: proprietarul locuinţei, </w:t>
            </w:r>
            <w:r w:rsidRPr="00D00C9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o-RO"/>
              </w:rPr>
              <w:t>succesorul de drept al acestuia</w:t>
            </w: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, persoana care a înstrăinat locuinţa în baza unui contract cu clauză de întreţinere sau cu rezerva dreptului de abitaţie/uzufruct, titularul contractului de închiriere, comodat, concesiune al acesteia ori alt membru de familie major şi împuternicit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Cum procedam cu </w:t>
            </w: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lastRenderedPageBreak/>
              <w:t xml:space="preserve">membrii familiei care sunt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plecati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in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strainatate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, pe care familia nu i-a declarat pe cererea de ajutor de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incalzire</w:t>
            </w:r>
            <w:proofErr w:type="spellEnd"/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lastRenderedPageBreak/>
              <w:t xml:space="preserve">În acest caz trebuie verificată situația. </w:t>
            </w: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lastRenderedPageBreak/>
              <w:t>Daca membrii plecați în străinătate realizează venituri acestea trebuie luate în calcul la stabilirea dreptului.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lastRenderedPageBreak/>
              <w:t>4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Daca o persoana se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incalzeste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cu lemne, solicita si supliment la energie (prepara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mancare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la aragaz cu butelie, nu are soba cu plita, doar soba de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incalzit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, ce fel de suplimente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primeste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?) energie si lemne sau doar energie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Această persoană va primi supliment pentru combustibili solizi/petrolieri pentru prepararea hranei, încălzire apă și supliment pentru energie electrică pentru iluminatul locuinței.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În cazul beneficiarilor Legii nr.416/2001, fără acte de proprietate sau cu acte olografe, neînregistrate la Primărie, care este baza legală prin care pot fi beneficiarii Legii nr.226/2021 și a HG nr.1073/2021?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Pot beneficia pe baza înregistrării în Registrul agricol și a anchetei sociale.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Referitor la bunurile care conduc la excluderea acordării beneficiilor de asistență socială , cum pot fi verificate aceste bunuri, dacă se află pe raza altor localități/județe?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Aceste bunuri ar trebui să se regăsească în declarația pe propria răspundere. Verificarea ar putea fi efectuată prin PATRIMVEN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Anchetele sociale sunt obligatorii din 6 in 6 luni la orice formă de ajutor de încălzire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Da. Articolul 33 din lege specifică faptul că ”În vederea urmăririi respectării condiţiilor de acordare a dreptului la ajutor pentru încălzire şi la suplimentul pentru energie, primarii dispun efectuarea de anchete sociale la interval de 6 luni sau ori de câte ori este nevoie.”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În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situatia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in care titularii de Venit Minim </w:t>
            </w: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lastRenderedPageBreak/>
              <w:t xml:space="preserve">Garantat nu au acte de proprietate pe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locuinta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acestia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pot beneficia in baza anchetelor sociale efectuate de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catre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serviciul de asistenta sociala de ajutor de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incalzire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si de supliment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lastRenderedPageBreak/>
              <w:t>Pot beneficia pe baza înregistrării în Registrul agricol și a anchetei sociale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lastRenderedPageBreak/>
              <w:t>9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Avand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in vedere ca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toti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locuitorii orașului Sulina fiind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considerati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consumatori vulnerabili datorită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izolarii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beneficiază deja de o reducere de 50% la consumul de curent electric, cei care se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incalzesc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electric mai pot beneficia suplimentar si de prevederile 226 privind curentul electric sau doar de ajutorul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ptr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incalzirea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cu lemne (cum am interpretat noi situația)..? Dacă da va aducem la cunoștință ca se pot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incadra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ca si venit peste 2000 de proprietari ?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Potrivit legii, ajutorul pentru încălzire se acordă numai familiilor şi/sau persoanelor singure care nu beneficiază de alte forme de sprijin pentru încălzirea locuinţei acordate în baza contractelor de muncă sau a legislaţiei specifice ramurilor economice.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Nu pot să fie aplicate 2 măsuri cu același scop și din același buget.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Este necesar să avem în vedere modul în care aceste prevederi au fost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applicate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anterior.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 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 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Persoana care nu a dezbătut succesiunea ( după părinți) poate beneficia de ajutorul pentru încălzire?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Succesorul de drept poate beneficia de ajutor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Potrivit legii, titular al ajutorului – poate fi, după caz: proprietarul locuinţei, </w:t>
            </w:r>
            <w:r w:rsidRPr="00D00C9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o-RO"/>
              </w:rPr>
              <w:t>succesorul de drept al acestuia</w:t>
            </w: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, persoana care a înstrăinat locuinţa în baza unui contract cu clauză de întreţinere sau cu rezerva dreptului de abitaţie/uzufruct, titularul contractului de închiriere, comodat, concesiune al acesteia ori alt membru de familie major şi împuternicit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Poate beneficia de ajutorul de încălzire a locuinței, familia care </w:t>
            </w: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lastRenderedPageBreak/>
              <w:t>are plecat în străinătate un membru, pentru acesta nefăcându-se dovada veniturilor realizate? Dacă poate beneficia se ia în calcul persoana plecată în străinătate?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lastRenderedPageBreak/>
              <w:t xml:space="preserve">În acest caz trebuie verificată situația. Daca membrii plecați în străinătate realizează venituri acestea trebuie luate în </w:t>
            </w: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lastRenderedPageBreak/>
              <w:t>calcul la stabilirea dreptului.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Persoane care absentează poate să nu fie luată în calcul la stabilirea membrilor de familie, însă este necesară efectuarea anchetei.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lastRenderedPageBreak/>
              <w:t>12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In lege, art. 33, alin 8 se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precizeaza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faptul ca in urma anchetei sociale se pot constata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situatii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ce conduc la modificarea, suspendarea sau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incetarea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dreptului,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fara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sa se precizeze nici in lege nici in norme care sunt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situatiile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care determina suspendarea dreptului?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Este adevărat ca nu se detaliază. Una dintre situații ar fi aceea că există o sesizare și este necesară verificarea situației. (art. 14 alin.(6) din lege)</w:t>
            </w:r>
          </w:p>
        </w:tc>
      </w:tr>
      <w:tr w:rsidR="00D00C97" w:rsidRPr="00D00C97" w:rsidTr="00D00C97">
        <w:tc>
          <w:tcPr>
            <w:tcW w:w="12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767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Copiii cu părinți plecați în străinătate și lăsați în grija bunicilor fără acte doveditoare pot fi luați sau nu în considerare pentru ajutorul de încălzire a locuinței</w:t>
            </w:r>
          </w:p>
        </w:tc>
        <w:tc>
          <w:tcPr>
            <w:tcW w:w="47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Da, se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po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lua în calcul.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Potrivit legii familia este definite ca fiind soţul, soţia, precum şi alte persoane, indiferent dacă între acestea există sau nu relaţii de rudenie, care au acelaşi domiciliu ori reşedinţă şi/sau care locuiesc şi gospodăresc împreună ori, după caz, sunt înscrise în cartea de imobil şi sunt luate în calcul la stabilirea cheltuielilor de întreţinere a locuinţei.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 </w:t>
            </w:r>
          </w:p>
          <w:p w:rsidR="00D00C97" w:rsidRPr="00D00C97" w:rsidRDefault="00D00C97" w:rsidP="00D00C97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</w:pPr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În această situație este de verificat dacă s-a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încalcat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art. 104 din Legea nr.272/2004 și dacă s-a aplicat </w:t>
            </w:r>
            <w:proofErr w:type="spellStart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>proceura</w:t>
            </w:r>
            <w:proofErr w:type="spellEnd"/>
            <w:r w:rsidRPr="00D00C97">
              <w:rPr>
                <w:rFonts w:ascii="Helvetica" w:eastAsia="Times New Roman" w:hAnsi="Helvetica" w:cs="Helvetica"/>
                <w:sz w:val="24"/>
                <w:szCs w:val="24"/>
                <w:lang w:eastAsia="ro-RO"/>
              </w:rPr>
              <w:t xml:space="preserve"> prevăzută de HG nr.691/2015</w:t>
            </w:r>
          </w:p>
        </w:tc>
      </w:tr>
      <w:tr w:rsidR="00D00C97" w:rsidRPr="00D00C97" w:rsidTr="00D00C97">
        <w:trPr>
          <w:gridAfter w:val="1"/>
          <w:wAfter w:w="4776" w:type="dxa"/>
        </w:trPr>
        <w:tc>
          <w:tcPr>
            <w:tcW w:w="0" w:type="auto"/>
            <w:shd w:val="clear" w:color="auto" w:fill="4F81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o-RO"/>
              </w:rPr>
            </w:pPr>
          </w:p>
        </w:tc>
        <w:tc>
          <w:tcPr>
            <w:tcW w:w="0" w:type="auto"/>
            <w:shd w:val="clear" w:color="auto" w:fill="4F81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o-RO"/>
              </w:rPr>
            </w:pPr>
            <w:r w:rsidRPr="00D00C97">
              <w:rPr>
                <w:rFonts w:ascii="Times New Roman" w:eastAsia="Times New Roman" w:hAnsi="Times New Roman" w:cs="Times New Roman"/>
                <w:b/>
                <w:bCs/>
                <w:sz w:val="10"/>
                <w:lang w:eastAsia="ro-RO"/>
              </w:rPr>
              <w:t>Beneficiari</w:t>
            </w:r>
          </w:p>
        </w:tc>
        <w:tc>
          <w:tcPr>
            <w:tcW w:w="0" w:type="auto"/>
            <w:shd w:val="clear" w:color="auto" w:fill="4F81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o-RO"/>
              </w:rPr>
            </w:pPr>
            <w:r w:rsidRPr="00D00C97">
              <w:rPr>
                <w:rFonts w:ascii="Times New Roman" w:eastAsia="Times New Roman" w:hAnsi="Times New Roman" w:cs="Times New Roman"/>
                <w:b/>
                <w:bCs/>
                <w:sz w:val="10"/>
                <w:lang w:eastAsia="ro-RO"/>
              </w:rPr>
              <w:t>Plăți efectuate</w:t>
            </w:r>
            <w:r w:rsidRPr="00D00C9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bdr w:val="none" w:sz="0" w:space="0" w:color="auto" w:frame="1"/>
                <w:lang w:eastAsia="ro-RO"/>
              </w:rPr>
              <w:br/>
            </w:r>
            <w:r w:rsidRPr="00D00C97">
              <w:rPr>
                <w:rFonts w:ascii="Times New Roman" w:eastAsia="Times New Roman" w:hAnsi="Times New Roman" w:cs="Times New Roman"/>
                <w:b/>
                <w:bCs/>
                <w:sz w:val="10"/>
                <w:lang w:eastAsia="ro-RO"/>
              </w:rPr>
              <w:t>(lei)</w:t>
            </w:r>
          </w:p>
        </w:tc>
      </w:tr>
      <w:tr w:rsidR="00D00C97" w:rsidRPr="00D00C97" w:rsidTr="00D00C97">
        <w:trPr>
          <w:gridAfter w:val="1"/>
          <w:wAfter w:w="4776" w:type="dxa"/>
        </w:trPr>
        <w:tc>
          <w:tcPr>
            <w:tcW w:w="0" w:type="auto"/>
            <w:shd w:val="clear" w:color="auto" w:fill="BDD4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0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AUGUST</w:t>
            </w:r>
            <w:r w:rsidRPr="00D0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br/>
              <w:t>2022</w:t>
            </w:r>
          </w:p>
        </w:tc>
        <w:tc>
          <w:tcPr>
            <w:tcW w:w="0" w:type="auto"/>
            <w:shd w:val="clear" w:color="auto" w:fill="BDD4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0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BDD4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0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</w:t>
            </w:r>
          </w:p>
        </w:tc>
      </w:tr>
      <w:tr w:rsidR="00D00C97" w:rsidRPr="00D00C97" w:rsidTr="00D00C97">
        <w:trPr>
          <w:gridAfter w:val="1"/>
          <w:wAfter w:w="4776" w:type="dxa"/>
        </w:trPr>
        <w:tc>
          <w:tcPr>
            <w:tcW w:w="0" w:type="auto"/>
            <w:shd w:val="clear" w:color="auto" w:fill="4F81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o-RO"/>
              </w:rPr>
            </w:pPr>
          </w:p>
        </w:tc>
        <w:tc>
          <w:tcPr>
            <w:tcW w:w="0" w:type="auto"/>
            <w:shd w:val="clear" w:color="auto" w:fill="4F81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o-RO"/>
              </w:rPr>
            </w:pPr>
            <w:r w:rsidRPr="00D00C97">
              <w:rPr>
                <w:rFonts w:ascii="Times New Roman" w:eastAsia="Times New Roman" w:hAnsi="Times New Roman" w:cs="Times New Roman"/>
                <w:b/>
                <w:bCs/>
                <w:sz w:val="10"/>
                <w:lang w:eastAsia="ro-RO"/>
              </w:rPr>
              <w:t>Beneficiari</w:t>
            </w:r>
          </w:p>
        </w:tc>
        <w:tc>
          <w:tcPr>
            <w:tcW w:w="0" w:type="auto"/>
            <w:shd w:val="clear" w:color="auto" w:fill="4F81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o-RO"/>
              </w:rPr>
            </w:pPr>
            <w:r w:rsidRPr="00D00C97">
              <w:rPr>
                <w:rFonts w:ascii="Times New Roman" w:eastAsia="Times New Roman" w:hAnsi="Times New Roman" w:cs="Times New Roman"/>
                <w:b/>
                <w:bCs/>
                <w:sz w:val="10"/>
                <w:lang w:eastAsia="ro-RO"/>
              </w:rPr>
              <w:t>Plăți efectuate</w:t>
            </w:r>
            <w:r w:rsidRPr="00D00C9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bdr w:val="none" w:sz="0" w:space="0" w:color="auto" w:frame="1"/>
                <w:lang w:eastAsia="ro-RO"/>
              </w:rPr>
              <w:br/>
            </w:r>
            <w:r w:rsidRPr="00D00C97">
              <w:rPr>
                <w:rFonts w:ascii="Times New Roman" w:eastAsia="Times New Roman" w:hAnsi="Times New Roman" w:cs="Times New Roman"/>
                <w:b/>
                <w:bCs/>
                <w:sz w:val="10"/>
                <w:lang w:eastAsia="ro-RO"/>
              </w:rPr>
              <w:t>(lei)</w:t>
            </w:r>
          </w:p>
        </w:tc>
      </w:tr>
      <w:tr w:rsidR="00D00C97" w:rsidRPr="00D00C97" w:rsidTr="00D00C97">
        <w:trPr>
          <w:gridAfter w:val="1"/>
          <w:wAfter w:w="4776" w:type="dxa"/>
        </w:trPr>
        <w:tc>
          <w:tcPr>
            <w:tcW w:w="0" w:type="auto"/>
            <w:shd w:val="clear" w:color="auto" w:fill="BDD4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0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AUGUST</w:t>
            </w:r>
            <w:r w:rsidRPr="00D0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br/>
              <w:t>2022</w:t>
            </w:r>
          </w:p>
        </w:tc>
        <w:tc>
          <w:tcPr>
            <w:tcW w:w="0" w:type="auto"/>
            <w:shd w:val="clear" w:color="auto" w:fill="BDD4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0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14.988</w:t>
            </w:r>
          </w:p>
        </w:tc>
        <w:tc>
          <w:tcPr>
            <w:tcW w:w="0" w:type="auto"/>
            <w:shd w:val="clear" w:color="auto" w:fill="BDD4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C97" w:rsidRPr="00D00C97" w:rsidRDefault="00D00C97" w:rsidP="00D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0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38.764.049</w:t>
            </w:r>
          </w:p>
        </w:tc>
      </w:tr>
    </w:tbl>
    <w:p w:rsidR="00DA22D8" w:rsidRPr="00D00C97" w:rsidRDefault="00DA22D8" w:rsidP="00D00C97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111111"/>
          <w:sz w:val="12"/>
          <w:szCs w:val="12"/>
          <w:lang w:eastAsia="ro-RO"/>
        </w:rPr>
      </w:pPr>
    </w:p>
    <w:sectPr w:rsidR="00DA22D8" w:rsidRPr="00D00C97" w:rsidSect="00DA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7D3"/>
    <w:multiLevelType w:val="multilevel"/>
    <w:tmpl w:val="BC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F0345"/>
    <w:multiLevelType w:val="multilevel"/>
    <w:tmpl w:val="9C54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C97"/>
    <w:rsid w:val="00D00C97"/>
    <w:rsid w:val="00DA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D8"/>
  </w:style>
  <w:style w:type="paragraph" w:styleId="Titlu2">
    <w:name w:val="heading 2"/>
    <w:basedOn w:val="Normal"/>
    <w:link w:val="Titlu2Caracter"/>
    <w:uiPriority w:val="9"/>
    <w:qFormat/>
    <w:rsid w:val="00D00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D00C97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unhideWhenUsed/>
    <w:rsid w:val="00D0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D00C97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D00C97"/>
    <w:rPr>
      <w:color w:val="0000FF"/>
      <w:u w:val="single"/>
    </w:rPr>
  </w:style>
  <w:style w:type="character" w:customStyle="1" w:styleId="post-date">
    <w:name w:val="post-date"/>
    <w:basedOn w:val="Fontdeparagrafimplicit"/>
    <w:rsid w:val="00D00C97"/>
  </w:style>
  <w:style w:type="character" w:customStyle="1" w:styleId="oceanwp-contact-text">
    <w:name w:val="oceanwp-contact-text"/>
    <w:basedOn w:val="Fontdeparagrafimplicit"/>
    <w:rsid w:val="00D00C97"/>
  </w:style>
  <w:style w:type="paragraph" w:customStyle="1" w:styleId="footer-copyright">
    <w:name w:val="footer-copyright"/>
    <w:basedOn w:val="Normal"/>
    <w:rsid w:val="00D0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o-the-top-long">
    <w:name w:val="to-the-top-long"/>
    <w:basedOn w:val="Fontdeparagrafimplicit"/>
    <w:rsid w:val="00D00C97"/>
  </w:style>
  <w:style w:type="character" w:customStyle="1" w:styleId="arrow">
    <w:name w:val="arrow"/>
    <w:basedOn w:val="Fontdeparagrafimplicit"/>
    <w:rsid w:val="00D00C97"/>
  </w:style>
  <w:style w:type="paragraph" w:styleId="TextnBalon">
    <w:name w:val="Balloon Text"/>
    <w:basedOn w:val="Normal"/>
    <w:link w:val="TextnBalonCaracter"/>
    <w:uiPriority w:val="99"/>
    <w:semiHidden/>
    <w:unhideWhenUsed/>
    <w:rsid w:val="00D0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30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8247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84429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7781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1497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5382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657770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797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885077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7849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123113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9291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233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388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36858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970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1466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211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74153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4537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03381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2314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859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3862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252">
          <w:marLeft w:val="0"/>
          <w:marRight w:val="0"/>
          <w:marTop w:val="0"/>
          <w:marBottom w:val="0"/>
          <w:divBdr>
            <w:top w:val="single" w:sz="2" w:space="24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479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3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1060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1</cp:revision>
  <dcterms:created xsi:type="dcterms:W3CDTF">2022-11-02T11:40:00Z</dcterms:created>
  <dcterms:modified xsi:type="dcterms:W3CDTF">2022-11-02T11:44:00Z</dcterms:modified>
</cp:coreProperties>
</file>